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16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Верхний предел муниципального </w:t>
      </w:r>
      <w:r>
        <w:rPr>
          <w:b/>
          <w:sz w:val="26"/>
          <w:szCs w:val="26"/>
        </w:rPr>
        <w:t xml:space="preserve">внутреннего </w:t>
      </w:r>
      <w:r>
        <w:rPr>
          <w:b/>
          <w:sz w:val="26"/>
          <w:szCs w:val="26"/>
        </w:rPr>
        <w:t xml:space="preserve">долга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616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Чановского района Новосибирской области </w:t>
      </w:r>
      <w:r>
        <w:rPr>
          <w:b/>
          <w:sz w:val="26"/>
          <w:szCs w:val="26"/>
        </w:rPr>
        <w:t xml:space="preserve">на </w:t>
      </w:r>
      <w:r>
        <w:rPr>
          <w:b/>
          <w:sz w:val="26"/>
          <w:szCs w:val="26"/>
        </w:rPr>
        <w:t xml:space="preserve">01.01.</w:t>
      </w:r>
      <w:r>
        <w:rPr>
          <w:b/>
          <w:sz w:val="26"/>
          <w:szCs w:val="26"/>
        </w:rPr>
        <w:t xml:space="preserve">2027</w:t>
      </w:r>
      <w:r>
        <w:rPr>
          <w:b/>
          <w:sz w:val="26"/>
          <w:szCs w:val="26"/>
        </w:rPr>
        <w:t xml:space="preserve"> г.</w:t>
      </w:r>
      <w:r>
        <w:rPr>
          <w:b/>
          <w:sz w:val="26"/>
          <w:szCs w:val="26"/>
        </w:rPr>
        <w:t xml:space="preserve">, на 01.01.</w:t>
      </w:r>
      <w:r>
        <w:rPr>
          <w:b/>
          <w:sz w:val="26"/>
          <w:szCs w:val="26"/>
        </w:rPr>
        <w:t xml:space="preserve">202</w:t>
      </w:r>
      <w:r>
        <w:rPr>
          <w:b/>
          <w:sz w:val="26"/>
          <w:szCs w:val="26"/>
        </w:rPr>
        <w:t xml:space="preserve">8</w:t>
      </w:r>
      <w:r>
        <w:rPr>
          <w:b/>
          <w:sz w:val="26"/>
          <w:szCs w:val="26"/>
        </w:rPr>
        <w:t xml:space="preserve">г., </w:t>
      </w:r>
      <w:r>
        <w:rPr>
          <w:b/>
          <w:sz w:val="26"/>
          <w:szCs w:val="26"/>
        </w:rPr>
      </w:r>
    </w:p>
    <w:p>
      <w:pPr>
        <w:pStyle w:val="616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на 01.01.2029</w:t>
      </w:r>
      <w:r>
        <w:rPr>
          <w:b/>
          <w:sz w:val="26"/>
          <w:szCs w:val="26"/>
        </w:rPr>
        <w:t xml:space="preserve">г. по видам долговых обязательств</w:t>
      </w:r>
      <w:r>
        <w:rPr>
          <w:b/>
          <w:sz w:val="26"/>
          <w:szCs w:val="26"/>
        </w:rPr>
      </w:r>
    </w:p>
    <w:p>
      <w:pPr>
        <w:pStyle w:val="616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616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616"/>
        <w:jc w:val="right"/>
      </w:pPr>
      <w:r>
        <w:t xml:space="preserve">т</w:t>
      </w:r>
      <w:r>
        <w:t xml:space="preserve">ыс.руб</w:t>
      </w:r>
      <w:r>
        <w:t xml:space="preserve">лей</w:t>
      </w:r>
      <w:r>
        <w:t xml:space="preserve">.</w:t>
      </w:r>
      <w:r/>
    </w:p>
    <w:tbl>
      <w:tblPr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361"/>
        <w:gridCol w:w="1701"/>
        <w:gridCol w:w="1843"/>
        <w:gridCol w:w="166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361" w:type="dxa"/>
            <w:vAlign w:val="top"/>
            <w:textDirection w:val="lrTb"/>
            <w:noWrap w:val="false"/>
          </w:tcPr>
          <w:p>
            <w:pPr>
              <w:pStyle w:val="616"/>
              <w:jc w:val="center"/>
            </w:pPr>
            <w:r>
              <w:t xml:space="preserve">Вид долгового обязательства</w:t>
            </w:r>
            <w:r/>
          </w:p>
        </w:tc>
        <w:tc>
          <w:tcPr>
            <w:tcW w:w="1701" w:type="dxa"/>
            <w:vAlign w:val="top"/>
            <w:textDirection w:val="lrTb"/>
            <w:noWrap w:val="false"/>
          </w:tcPr>
          <w:p>
            <w:pPr>
              <w:pStyle w:val="616"/>
              <w:jc w:val="center"/>
            </w:pPr>
            <w:r>
              <w:t xml:space="preserve">На 01 января </w:t>
            </w:r>
            <w:r>
              <w:t xml:space="preserve">2027</w:t>
            </w:r>
            <w:r>
              <w:t xml:space="preserve">года</w:t>
            </w:r>
            <w:r/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16"/>
              <w:jc w:val="center"/>
            </w:pPr>
            <w:r>
              <w:t xml:space="preserve">На 01 января </w:t>
            </w:r>
            <w:r>
              <w:t xml:space="preserve">202</w:t>
            </w:r>
            <w:r>
              <w:t xml:space="preserve">8</w:t>
            </w:r>
            <w:r>
              <w:t xml:space="preserve"> года</w:t>
            </w:r>
            <w:r/>
          </w:p>
        </w:tc>
        <w:tc>
          <w:tcPr>
            <w:tcW w:w="1666" w:type="dxa"/>
            <w:vAlign w:val="top"/>
            <w:textDirection w:val="lrTb"/>
            <w:noWrap w:val="false"/>
          </w:tcPr>
          <w:p>
            <w:pPr>
              <w:pStyle w:val="616"/>
              <w:jc w:val="center"/>
            </w:pPr>
            <w:r>
              <w:t xml:space="preserve">На 01 января 202</w:t>
            </w:r>
            <w:r>
              <w:t xml:space="preserve">9</w:t>
            </w:r>
            <w:r>
              <w:t xml:space="preserve"> года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361" w:type="dxa"/>
            <w:vAlign w:val="top"/>
            <w:textDirection w:val="lrTb"/>
            <w:noWrap w:val="false"/>
          </w:tcPr>
          <w:p>
            <w:pPr>
              <w:pStyle w:val="616"/>
            </w:pPr>
            <w:r>
              <w:t xml:space="preserve">Муниципальные ценные бумаги</w:t>
            </w:r>
            <w:r/>
          </w:p>
        </w:tc>
        <w:tc>
          <w:tcPr>
            <w:tcW w:w="1701" w:type="dxa"/>
            <w:vAlign w:val="top"/>
            <w:textDirection w:val="lrTb"/>
            <w:noWrap w:val="false"/>
          </w:tcPr>
          <w:p>
            <w:pPr>
              <w:pStyle w:val="616"/>
              <w:jc w:val="center"/>
            </w:pPr>
            <w:r>
              <w:t xml:space="preserve">0,00</w:t>
            </w:r>
            <w:r/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16"/>
              <w:jc w:val="center"/>
            </w:pPr>
            <w:r>
              <w:t xml:space="preserve">0,00</w:t>
            </w:r>
            <w:r/>
          </w:p>
        </w:tc>
        <w:tc>
          <w:tcPr>
            <w:tcW w:w="1666" w:type="dxa"/>
            <w:vAlign w:val="top"/>
            <w:textDirection w:val="lrTb"/>
            <w:noWrap w:val="false"/>
          </w:tcPr>
          <w:p>
            <w:pPr>
              <w:pStyle w:val="616"/>
              <w:jc w:val="center"/>
            </w:pPr>
            <w:r>
              <w:t xml:space="preserve">0,00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361" w:type="dxa"/>
            <w:vAlign w:val="top"/>
            <w:textDirection w:val="lrTb"/>
            <w:noWrap w:val="false"/>
          </w:tcPr>
          <w:p>
            <w:pPr>
              <w:pStyle w:val="616"/>
            </w:pPr>
            <w:r>
              <w:t xml:space="preserve">Бюджетные кредиты, привлеченные от других бюджетов бюджетной системы Российской Федерации</w:t>
            </w:r>
            <w:r/>
          </w:p>
        </w:tc>
        <w:tc>
          <w:tcPr>
            <w:tcW w:w="1701" w:type="dxa"/>
            <w:vAlign w:val="top"/>
            <w:textDirection w:val="lrTb"/>
            <w:noWrap w:val="false"/>
          </w:tcPr>
          <w:p>
            <w:pPr>
              <w:pStyle w:val="616"/>
              <w:jc w:val="center"/>
            </w:pPr>
            <w:r>
              <w:t xml:space="preserve">0,00</w:t>
            </w:r>
            <w:r/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16"/>
              <w:jc w:val="center"/>
            </w:pPr>
            <w:r>
              <w:t xml:space="preserve">0,00</w:t>
            </w:r>
            <w:r/>
          </w:p>
        </w:tc>
        <w:tc>
          <w:tcPr>
            <w:tcW w:w="1666" w:type="dxa"/>
            <w:vAlign w:val="top"/>
            <w:textDirection w:val="lrTb"/>
            <w:noWrap w:val="false"/>
          </w:tcPr>
          <w:p>
            <w:pPr>
              <w:pStyle w:val="616"/>
              <w:jc w:val="center"/>
            </w:pPr>
            <w:r>
              <w:t xml:space="preserve">0,00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361" w:type="dxa"/>
            <w:vAlign w:val="top"/>
            <w:textDirection w:val="lrTb"/>
            <w:noWrap w:val="false"/>
          </w:tcPr>
          <w:p>
            <w:pPr>
              <w:pStyle w:val="616"/>
            </w:pPr>
            <w:r>
              <w:t xml:space="preserve">Кредиты, полученные от кредитных организаций</w:t>
            </w:r>
            <w:r/>
          </w:p>
        </w:tc>
        <w:tc>
          <w:tcPr>
            <w:tcW w:w="1701" w:type="dxa"/>
            <w:vAlign w:val="top"/>
            <w:textDirection w:val="lrTb"/>
            <w:noWrap w:val="false"/>
          </w:tcPr>
          <w:p>
            <w:pPr>
              <w:pStyle w:val="616"/>
              <w:jc w:val="center"/>
            </w:pPr>
            <w:r>
              <w:t xml:space="preserve">0,00</w:t>
            </w:r>
            <w:r/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16"/>
              <w:jc w:val="center"/>
            </w:pPr>
            <w:r>
              <w:t xml:space="preserve">0,00</w:t>
            </w:r>
            <w:r/>
          </w:p>
        </w:tc>
        <w:tc>
          <w:tcPr>
            <w:tcW w:w="1666" w:type="dxa"/>
            <w:vAlign w:val="top"/>
            <w:textDirection w:val="lrTb"/>
            <w:noWrap w:val="false"/>
          </w:tcPr>
          <w:p>
            <w:pPr>
              <w:pStyle w:val="616"/>
              <w:jc w:val="center"/>
            </w:pPr>
            <w:r>
              <w:t xml:space="preserve">0,00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361" w:type="dxa"/>
            <w:vAlign w:val="top"/>
            <w:textDirection w:val="lrTb"/>
            <w:noWrap w:val="false"/>
          </w:tcPr>
          <w:p>
            <w:pPr>
              <w:pStyle w:val="616"/>
            </w:pPr>
            <w:r>
              <w:t xml:space="preserve">Муниципальные гарантии</w:t>
            </w:r>
            <w:r/>
          </w:p>
        </w:tc>
        <w:tc>
          <w:tcPr>
            <w:tcW w:w="1701" w:type="dxa"/>
            <w:vAlign w:val="top"/>
            <w:textDirection w:val="lrTb"/>
            <w:noWrap w:val="false"/>
          </w:tcPr>
          <w:p>
            <w:pPr>
              <w:pStyle w:val="616"/>
              <w:jc w:val="center"/>
            </w:pPr>
            <w:r>
              <w:t xml:space="preserve">0,00</w:t>
            </w:r>
            <w:r/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16"/>
              <w:jc w:val="center"/>
            </w:pPr>
            <w:r>
              <w:t xml:space="preserve">0,00</w:t>
            </w:r>
            <w:r/>
          </w:p>
        </w:tc>
        <w:tc>
          <w:tcPr>
            <w:tcW w:w="1666" w:type="dxa"/>
            <w:vAlign w:val="top"/>
            <w:textDirection w:val="lrTb"/>
            <w:noWrap w:val="false"/>
          </w:tcPr>
          <w:p>
            <w:pPr>
              <w:pStyle w:val="616"/>
              <w:jc w:val="center"/>
            </w:pPr>
            <w:r>
              <w:t xml:space="preserve">0,00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361" w:type="dxa"/>
            <w:vAlign w:val="top"/>
            <w:textDirection w:val="lrTb"/>
            <w:noWrap w:val="false"/>
          </w:tcPr>
          <w:p>
            <w:pPr>
              <w:pStyle w:val="616"/>
              <w:rPr>
                <w:b/>
              </w:rPr>
            </w:pPr>
            <w:r>
              <w:rPr>
                <w:b/>
              </w:rPr>
              <w:t xml:space="preserve">Итого:</w:t>
            </w:r>
            <w:r>
              <w:rPr>
                <w:b/>
              </w:rPr>
            </w:r>
          </w:p>
        </w:tc>
        <w:tc>
          <w:tcPr>
            <w:tcW w:w="1701" w:type="dxa"/>
            <w:vAlign w:val="top"/>
            <w:textDirection w:val="lrTb"/>
            <w:noWrap w:val="false"/>
          </w:tcPr>
          <w:p>
            <w:pPr>
              <w:pStyle w:val="616"/>
              <w:jc w:val="center"/>
            </w:pPr>
            <w:r>
              <w:t xml:space="preserve">0,00</w:t>
            </w:r>
            <w:r/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16"/>
              <w:jc w:val="center"/>
            </w:pPr>
            <w:r>
              <w:t xml:space="preserve">0,00</w:t>
            </w:r>
            <w:r/>
          </w:p>
        </w:tc>
        <w:tc>
          <w:tcPr>
            <w:tcW w:w="1666" w:type="dxa"/>
            <w:vAlign w:val="top"/>
            <w:textDirection w:val="lrTb"/>
            <w:noWrap w:val="false"/>
          </w:tcPr>
          <w:p>
            <w:pPr>
              <w:pStyle w:val="616"/>
              <w:jc w:val="center"/>
            </w:pPr>
            <w:r>
              <w:t xml:space="preserve">0,00</w:t>
            </w:r>
            <w:r/>
          </w:p>
        </w:tc>
      </w:tr>
    </w:tbl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6"/>
    <w:next w:val="616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6"/>
    <w:next w:val="616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6"/>
    <w:next w:val="616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6"/>
    <w:next w:val="616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6"/>
    <w:next w:val="616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6"/>
    <w:next w:val="616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6"/>
    <w:next w:val="616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6"/>
    <w:next w:val="616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6"/>
    <w:next w:val="616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6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6"/>
    <w:next w:val="616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16"/>
    <w:next w:val="616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16"/>
    <w:next w:val="616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6"/>
    <w:next w:val="616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6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16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16"/>
    <w:next w:val="616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11"/>
    <w:link w:val="46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6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16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16"/>
    <w:next w:val="616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6"/>
    <w:next w:val="616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6"/>
    <w:next w:val="616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6"/>
    <w:next w:val="616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6"/>
    <w:next w:val="616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6"/>
    <w:next w:val="616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6"/>
    <w:next w:val="616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6"/>
    <w:next w:val="616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6"/>
    <w:next w:val="616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6"/>
    <w:next w:val="616"/>
    <w:uiPriority w:val="99"/>
    <w:unhideWhenUsed/>
    <w:pPr>
      <w:spacing w:after="0" w:afterAutospacing="0"/>
    </w:pPr>
  </w:style>
  <w:style w:type="paragraph" w:styleId="616" w:default="1">
    <w:name w:val="Normal"/>
    <w:next w:val="616"/>
    <w:link w:val="616"/>
    <w:qFormat/>
    <w:rPr>
      <w:sz w:val="24"/>
      <w:szCs w:val="24"/>
      <w:lang w:val="ru-RU" w:eastAsia="ru-RU" w:bidi="ar-SA"/>
    </w:rPr>
  </w:style>
  <w:style w:type="character" w:styleId="617">
    <w:name w:val="Основной шрифт абзаца"/>
    <w:next w:val="617"/>
    <w:link w:val="616"/>
    <w:semiHidden/>
  </w:style>
  <w:style w:type="table" w:styleId="618">
    <w:name w:val="Обычная таблица"/>
    <w:next w:val="618"/>
    <w:link w:val="616"/>
    <w:semiHidden/>
    <w:tblPr/>
  </w:style>
  <w:style w:type="numbering" w:styleId="619">
    <w:name w:val="Нет списка"/>
    <w:next w:val="619"/>
    <w:link w:val="616"/>
    <w:semiHidden/>
  </w:style>
  <w:style w:type="table" w:styleId="620">
    <w:name w:val="Сетка таблицы"/>
    <w:basedOn w:val="618"/>
    <w:next w:val="620"/>
    <w:link w:val="616"/>
    <w:tblPr/>
  </w:style>
  <w:style w:type="paragraph" w:styleId="621">
    <w:name w:val="Текст выноски"/>
    <w:basedOn w:val="616"/>
    <w:next w:val="621"/>
    <w:link w:val="622"/>
    <w:rPr>
      <w:rFonts w:ascii="Tahoma" w:hAnsi="Tahoma" w:cs="Tahoma"/>
      <w:sz w:val="16"/>
      <w:szCs w:val="16"/>
    </w:rPr>
  </w:style>
  <w:style w:type="character" w:styleId="622">
    <w:name w:val="Текст выноски Знак"/>
    <w:next w:val="622"/>
    <w:link w:val="621"/>
    <w:rPr>
      <w:rFonts w:ascii="Tahoma" w:hAnsi="Tahoma" w:cs="Tahoma"/>
      <w:sz w:val="16"/>
      <w:szCs w:val="16"/>
    </w:rPr>
  </w:style>
  <w:style w:type="character" w:styleId="920" w:default="1">
    <w:name w:val="Default Paragraph Font"/>
    <w:uiPriority w:val="1"/>
    <w:semiHidden/>
    <w:unhideWhenUsed/>
  </w:style>
  <w:style w:type="numbering" w:styleId="921" w:default="1">
    <w:name w:val="No List"/>
    <w:uiPriority w:val="99"/>
    <w:semiHidden/>
    <w:unhideWhenUsed/>
  </w:style>
  <w:style w:type="table" w:styleId="922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>MoBIL GROUP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№9</dc:title>
  <dc:creator>User</dc:creator>
  <cp:lastModifiedBy>bondarenko_nn@mfnso.local</cp:lastModifiedBy>
  <cp:revision>17</cp:revision>
  <dcterms:created xsi:type="dcterms:W3CDTF">2021-08-11T04:50:00Z</dcterms:created>
  <dcterms:modified xsi:type="dcterms:W3CDTF">2025-11-13T07:29:42Z</dcterms:modified>
  <cp:version>1048576</cp:version>
</cp:coreProperties>
</file>